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ascii="宋体" w:hAnsi="宋体" w:eastAsia="宋体" w:cs="宋体"/>
                <w:b/>
                <w:sz w:val="52"/>
              </w:rPr>
              <w:t>2022年度淮阴工学院单位决算公开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eastAsia="黑体" w:cs="黑体"/>
        </w:rPr>
        <w:t>单位决算表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eastAsia="黑体" w:cs="黑体"/>
        </w:rPr>
        <w:t>单位决算情况说明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（1）人才培养职能。深入推进“一流学生培养”实施计划，主动策应新工科、新农科、新文科建设和“卓越人才培养计划2.0”要求，创新人才培养模式。大力弘扬周恩来精神，促进学生德智体美劳全面发展。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科学研究职能。面向国家发展战略和区域行业重大需求，强化应用研究，推进科教融合、校城融合，大力提升科技创新能力。围绕科技前沿和未来产业发展需求，加强与高校、科研院所、行业企业等协同合作，增强平台汇聚高端人才、承接重大项目、产出原创成果的能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社会服务职能。聚焦地方产业，配置整合创新要素，推进项目成果与产业需求精准对接，助力乡村振兴，不断拓展服务深度与广度。加快推进成果转化与技术转移。加大社会培训力度，打造特色品牌培训项目。</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文化传承创新职能。坚持“以文化人、以文育人”，大力弘扬社会主义先进文化，厚植校园文化底蕴，繁荣校园文化活动，增强学校文化软实力和核心竞争力。实施中华优秀传统文化浸润工程，传承弘扬优秀地域文化，践行“明德尚学、自强不息”淮工精神。</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（5）国际交流与合作职能。坚持开放办学，推进更大范围、更宽领域、更深层次对外合作交流，不断提升办学的国际化水平。推进“留学淮工”文化品牌建设，加强淮台两岸交流合作。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党政办公室,党委组织部、党委统战部，党委宣传部，纪委机关、巡察办，机关党委，党委教师工作部、人事处，党委研究生工作部、研究生处，党委学生工作部、学生工作处、人民武装部，党委保卫部、保卫处，发展规划处，教务处，教学质量监控与评估处，科学技术处，社会科学处、苏北发展研究院，计划财务处，招生就业处，国际合作交流处、港澳台事务办公室，国有资产与实验室管理处，审计处，信息化建设与管理处、信息化技术中心，对外联络与合作处，后勤管理处，基建处，离退休党工委、离退休工作处，萧湖校区管理委员会、大学生创新创业基地管理委员会，淮阴工学院工会委员会，共青团淮阴工学院委员会，继续教育学院、翔宇教育学院，高等教育研究所、学报编辑部，图书馆，工程训练中心，饮食服务总公司；机械与材料工程学院，计算机与软件工程学院，生命科学与食品工程学院，商学院，外国语学院，创新创业学院，体育教学部，自动化学院，建筑工程学院，交通工程学院，数理学院，设计艺术学院，国际教育学院，矿盐资源深度利用技术国家地方联合工程研究中心，电子信息工程学院，化学工程学院，管理工程学院，人文学院，应用技术学院，马克思主义学院。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大学基础建设稳步推进。稳步推进淮安大学创建工作，成立硕士学位点攻坚组和大学创建材料组，加强对学校指标的分析研判，完成淮安大学论证报告、章程初稿和“1+10”支撑材料收集整理工作。出台《高水平淮安大学实施方案》，明确“十个一流”实施计划。</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学位点和学科建设取得新进展。修订《硕士学位点建设工作方案》，确定工学、管理学和社会学科3个主干学科门类，确定培育建设15个硕士学位授权点，并按照时间节点推进各项工作。修订《一流学科建设管理办法》，积极推进校级一流学科建设相关任务。扎实推进化学、材料科学等学科ESI全球前1%培育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一流专业建设取得新成效。土木工程和工商管理2个专业获批国家级一流本科专业建设点，生物工程、金属材料工程等11个专业获批省一流本科专业建设点。计算机科学与技术等4个专业获批省级产教融合型品牌专业建设点，获批数居全省第二；自动化、土木工程2个专业通过工程教育专业认证，交通运输专业成功通过工程教育专业认证专家组现场考查。通信工程等3个专业获批2022年服务外包类专业嵌入式人才培养项目。围绕产业链、创新链优化调整专业设置，2022年调整招生专业为54个。</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教学改革实现新突破。获批江苏省教学成果一等奖3项，获奖等级和总量均位列同类高校前列。完成国家级教学成果奖申报工作，共有7项进入国家评审环节，其中我校为第一完成单位2项。获批省高校“高质量公共课教学改革研究”专项课题4项，其中重点课题2项。持续加大课程建设力度，获批全省首批产教融合型课程5门，居全省前列。成立13个校级产业学院，持续推进“传动装备智能制造学院”申报国家现代产业学院。12个专业顺利通过省专业综合评估的材料评审，3个本科专业顺利通过省学士学位授权专家审核。</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学生培养质量实现新提高。新增省优秀硕士学位论文1篇。获省级优秀毕业设计（论文）一等奖1篇、二等奖3篇、三等奖6篇、优秀团队奖1项。积极推进与省产业技术研究院、省农业科学院等“大院名企”开展研究生联合培养工作。在校研究生规模首次突破1000人。坚持周恩来精神育人特色，获评市“周恩来班”6个。学生在省级及以上学科竞赛中获奖2187项，其中A类竞赛191项，获“互联网+”国赛银奖2项、全国研究生数学建模赛一等奖2项、大学生数学建模竞赛一等奖2项。学生考研率达21.16%，连续5年超过20%。圆满完成6293个本科招生计划。深入开展书记校长访企拓岗促就业专项行动，就业率达95.17%，位居全省前列。</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人才队伍建设质态更优。引聘“长江学者”、国家“杰青”“万人计划”等国家级重点人才5人，引进并办理入职博士30人，在职教师获博士学位10人，专任教师博士比达48.43%。新增省高校“青蓝工程”优秀教学团队1个，获省教学名师1人，获省级以上人才76人次，其中入选省“双创计划”双创博士7人，入选省高校“青蓝工程”培养对象8项。获批江苏省技能大师工作室和淮安市技能大师工作室各1个。新增正高21人、副高63人，师资结构持续优化。</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科技创新与服务能力不断增强。获批国家自科基金项目6项、社科基金后期资助项目1项。获批省部级项目84项，其中首次获批总经费500万元的省碳达峰碳中和科技创新专项资金项目1项，为省同类高校唯一；获批省高校自科项目重大项目4项、面上项目16项，获批数位居省同类高校第一。新增省级平台3个。获省科学技术奖6项；首次获国家级学会科学技术奖第一等次2项；荣获2022年度江苏省职工十大科技创新成果奖，省社科应用研究精品工程奖一等奖1项、二等奖1项；获省高教学会2021年度高等教育科学研究成果奖二等奖2项。签订合作经费超500万元的重大横向项目，经费额创历史新高。获批授权专利423件，其中授权发明专利305件；全年实现专利转化280件、转化金额1318.98万元，名列中国高校专利转让百强榜单。获批2022年度江苏省知识产权战略推进计划项目。深入实施校城融合“1111”工程升级版，推进实现苏北地市全覆盖，推动实施“跨江发展、向南图强”战略。充分发挥苏北研究院汇智聚力作用，智库成果获省领导批示3份、市主要领导批示7份，1项成果入选“2022中国智库索引（CTTI）智库最佳实践案例”，1项成果入选江苏智库实践十佳案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8、开放办学水平持续提高。获省“十四五”教育对外开放质量提升工程项目3项，为全省同类高校中唯一实现三大工程项目全覆盖高校。新增境外友好院校12所、企业2家。新立项共建合作课程4门、培育课程1门。持续推进中欧运河文化研究交流中心建设，举行中欧运河文化研究交流中心课程共建项目交流会。“江苏省外国专家工作室”绩效考核获评优秀。获江苏省五一劳动荣誉奖章、江苏省友好使者荣誉称号外籍教师各1人。深化对台合作交流，获批教育部对台教育交流项目1项、省台办涉台创新创优项目1项。新招留学生61人，招生层次和招生质量均实现较大提升。</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淮阴工学院</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淮阴工学院</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44,672.34</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98.81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4,000.00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25,662.99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67,339.41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7,618.28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185.64</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35.00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4,927.01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4,802.09</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138.00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11,172.19</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4,000.00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86,880.61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87,771.14</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715.07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412.05</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803.88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216.38</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88,399.56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88,399.56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86,880.61</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48,672.34</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16,000.00</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9,662.99</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7,618.28</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4,927.01</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知识产权事务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知识产权战略和规划</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66,531.24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38,556.09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8,592.51</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9,662.99</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7,618.28</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2,101.38</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普通教育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66,531.24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38,556.09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8,592.51</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9,662.99</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7,618.28</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2,101.38</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高等教育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66,531.24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38,556.09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8,592.51</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9,662.99</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7,618.28</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2,101.38</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190.10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190.10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基础研究</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自然科学基金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社会科学</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2060602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社会科学研究</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2060603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社科基金支出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20607</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科学技术普及</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2060702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科普活动</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118.10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118.10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118.10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118.10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文化旅游体育与传媒支出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其他文化旅游体育与传媒支出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2079902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宣传文化发展专项支出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4,802.09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4,802.09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4,802.09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4,802.09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3,201.39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3,201.39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1,600.70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1,600.70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农林水支出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农业农村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2130106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科技转化与推广服务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11,172.19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939.06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7,407.49</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2,825.64</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11,172.19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939.06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7,407.49</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2,825.64</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3,158.59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1,908.93</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1,249.66</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8,013.60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939.06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5,498.56</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1,575.98</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其他政府性基金及对应专项债务收入安排的支出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2290403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其他政府性基金债务收入安排的支出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4,000.00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87,771.14</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58,614.35</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21,950.55</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7,206.23</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98.81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98.81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知识产权事务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98.81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98.81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知识产权战略和规划</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98.81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98.81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67,339.41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42,640.08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17,493.10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7,206.23</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普通教育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67,339.41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42,640.08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17,493.10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7,206.23</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高等教育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67,339.41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42,640.08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17,493.10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7,206.23</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科学技术支出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185.64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185.64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基础研究</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自然科学基金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社会科学</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2060602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社会科学研究</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2060603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社科基金支出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其他科学技术支出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117.64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117.64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其他科学技术支出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117.64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117.64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文化旅游体育与传媒支出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其他文化旅游体育与传媒支出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2079902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宣传文化发展专项支出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4,802.09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4,802.09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4,802.09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4,802.09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3,201.39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3,201.39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1,600.70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1,600.70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农林水支出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农业农村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2130106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科技转化与推广服务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2130122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农业生产发展</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11,172.19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11,172.19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11,172.19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11,172.19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3,158.59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3,158.59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8,013.60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8,013.60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4,000.00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4,000.00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其他政府性基金及对应专项债务收入安排的支出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4,000.00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4,000.00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2290403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其他政府性基金债务收入安排的支出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4,000.00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4,000.00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淮阴工学院</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44,672.34</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39,061.24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39,061.24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185.64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185.64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4,802.09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4,802.09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48,672.34</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49,259.84</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45,259.84</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803.88</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216.38</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216.38</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803.88</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49,476.22</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49,476.22</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45,476.22</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49,259.84</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27,309.29</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21,950.55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知识产权事务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知识产权战略和规划</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98.81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39,061.24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21,568.14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17,493.10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普通教育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39,061.24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21,568.14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17,493.10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高等教育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39,061.24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21,568.14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17,493.10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基础研究</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自然科学基金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社会科学</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2060602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社会科学研究</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2060603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社科基金支出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其他文化旅游体育与传媒支出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2079902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宣传文化发展专项支出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4,802.09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3,201.39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3,201.39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1,600.70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1,600.70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农业农村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科技转化与推广服务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2130122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农业生产发展</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939.06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其他政府性基金及对应专项债务收入安排的支出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2290403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其他政府性基金债务收入安排的支出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4,000.00</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淮阴工学院</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27,309.29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26,859.79</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25,024.40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25,024.40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6,991.86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6,991.86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727.88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727.88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9,279.69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9,279.69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2,187.44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1,093.72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1,198.87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1,198.87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3,275.26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3,275.26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111.25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1,835.39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1,835.39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944.46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45,259.84</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27,309.29</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17,950.55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98.81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98.81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知识产权事务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98.81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98.81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知识产权战略和规划</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98.81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98.81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39,061.24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21,568.14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17,493.10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普通教育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39,061.24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21,568.14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17,493.10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高等教育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39,061.24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21,568.14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17,493.10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基础研究</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自然科学基金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社会科学</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2060602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社会科学研究</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2060603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社科基金支出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文化旅游体育与传媒支出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其他文化旅游体育与传媒支出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2079902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宣传文化发展专项支出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4,802.09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4,802.09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4,802.09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4,802.09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3,201.39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3,201.39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1,600.70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农林水支出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农业农村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2130106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科技转化与推广服务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2130122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农业生产发展</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939.06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939.06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939.06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939.06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939.06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939.06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27,309.29</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26,859.79</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25,024.40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25,024.40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6,991.86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6,991.86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727.88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727.88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9,279.69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9,279.69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2,187.44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1,093.72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1,093.72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1,198.87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1,198.87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3,275.26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3,275.26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111.25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1,835.39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1,835.39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944.46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8.25</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8.25</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8.25</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8.25</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875</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4,000.00</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4,000.00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4,000.00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22904</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其他政府性基金及对应专项债务收入安排的支出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4,000.00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4,000.00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2290403</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其他政府性基金债务收入安排的支出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4,000.00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4,000.00</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注：本表反映本年度政府性基金预算财政拨款支出情况。本表金额单位转换时可能存在尾数误差。</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淮阴工学院</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3,410.74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2,654.51</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183.94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572.29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3,233.95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2,203.06</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单位决算情况说明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2022年度收入、支出决算总计88,399.56万元。与上年相比，收、支总计各增加65.72万元，增长0.07%。其中：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（一）收入决算总计88,399.56万元。包括：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1.本年收入决算合计86,880.61万元。与上年相比，减少905.72万元，减少1.03%，变动原因：本年度科研收入较上年度有所减少。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2.使用非财政拨款结余715.07万元。与上年相比，增加715.07万元（上年决算数为0万元，无法计算增减比率），变动原因：本年度因内涵建设投入有所增加，支出略超收入。</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3.年初结转和结余803.88万元。与上年相比，增加256.37万元，增长46.82%，变动原因：主要为上年度未使用完的项目经费，结转下年度继续用于原项目支出。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（二）支出决算总计88,399.56万元。包括：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1.本年支出决算合计87,771.14万元。与上年相比，增加3,322.96万元，增长3.93%，变动原因：主要为我校新建两栋学生宿舍楼，投入4000余万元，其他支出减少600余万元。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2.结余分配412.05万元。结余分配事项：全部为经营结余。与上年相比，减少2,669.73万元，减少86.63%，变动原因：本年度因学校加大内涵建设投入，而收入比上年度略低，因此结余较上年度减少幅度较大。</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3.年末结转和结余216.38万元。结转和结余事项：本年度未执行完成的项目经费。与上年相比，减少587.5万元，减少73.08%，变动原因：本年度加大预算执行力度。</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收入决算合计86,880.61万元，其中：财政拨款收入48,672.34万元，占56.02%；上级补助收入0万元，占0%；财政专户管理教育收费16,000万元，占18.42%；事业收入（不含专户管理教育收费）9,662.99万元，占11.12%；经营收入7,618.28万元，占8.77%；附属单位上缴收入0万元，占0%；其他收入4,927.01万元，占5.67%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2022年度本年支出决算合计87,771.14万元，其中：基本支出58,614.35万元，占66.78%；项目支出21,950.55万元，占25.01%；上缴上级支出0万元，占0%；经营支出7,206.23万元，占8.21%；对附属单位补助支出0万元，占0%。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收入、支出决算总计49,476.22万元。与上年相比，收、支总计各增加5,372.32万元，增长12.18%，变动原因：我校因新建两栋学生宿舍楼获批专项贷款4000万元，同时本年度财政拨款安排项目较上年度有所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2022年度财政拨款支出决算49,259.84万元，占本年支出合计的56.12%。与2022年度财政拨款支出年初预算37,962.29万元相比，完成年初预算的129.76%。其中：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知识产权事务（款）知识产权战略和规划（项）。年初预算0万元，支出决算98.81万元，（年初预算数为0万元，无法计算完成比率）决算数与年初预算数的差异原因：年度过程中获批的知识产权类专项资金。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普通教育（款）高等教育（项）。年初预算32,221.14万元，支出决算39,061.24万元，完成年初预算的121.23%。决算数与年初预算数的差异原因：年度过程中获批的教育类财政专项资金。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（三）科学技术支出（类）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1.基础研究（款）自然科学基金（项）。年初预算0万元，支出决算32万元，（年初预算数为0万元，无法计算完成比率）决算数与年初预算数的差异原因：年度过程中获批的基础研究自然科学基金专项经费。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2.社会科学（款）社会科学研究（项）。年初预算0万元，支出决算8万元，（年初预算数为0万元，无法计算完成比率）决算数与年初预算数的差异原因：年度过程中获批的社会科学研究类专项经费。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3.社会科学（款）社科基金支出（项）。年初预算0万元，支出决算28万元，（年初预算数为0万元，无法计算完成比率）决算数与年初预算数的差异原因：年度过程中获批的社会科学基金专项经费。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其他科学技术支出（款）其他科学技术支出（项）。年初预算0万元，支出决算117.64万元，（年初预算数为0万元，无法计算完成比率）决算数与年初预算数的差异原因：年度过程中获批的其他科学技术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（四）文化旅游体育与传媒支出（类）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文化旅游体育与传媒支出（款）宣传文化发展专项支出（项）。年初预算0万元，支出决算35万元，（年初预算数为0万元，无法计算完成比率）决算数与年初预算数的差异原因：年度过程中获批的其他宣传文化发展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1.行政事业单位养老支出（款）机关事业单位基本养老保险缴费支出（项）。年初预算3,201.39万元，支出决算3,201.39万元，完成年初预算的100%。决算数与年初预算数相同。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2.行政事业单位养老支出（款）机关事业单位职业年金缴费支出（项）。年初预算1,600.7万元，支出决算1,600.7万元，完成年初预算的100%。决算数与年初预算数相同。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（六）农林水支出（类）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农业农村（款）科技转化与推广服务（项）。年初预算0万元，支出决算50万元，（年初预算数为0万元，无法计算完成比率）决算数与年初预算数的差异原因：年度过程中获批的农业农村科技转化与推广服务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2.农业农村（款）农业生产发展（项）。年初预算0万元，支出决算88万元，（年初预算数为0万元，无法计算完成比率）决算数与年初预算数的差异原因：年度过程中获批的农业生产发展专项经费。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住房改革支出（款）提租补贴（项）。年初预算939.06万元，支出决算939.06万元，完成年初预算的100%。决算数与年初预算数相同。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（八）其他支出（类）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政府性基金及对应专项债务收入安排的支出（款）其他政府性基金债务收入安排的支出（项）。年初预算0万元，支出决算4,000万元，（年初预算数为0万元，无法计算完成比率）决算数与年初预算数的差异原因：年度过程中获批的政府基金4000万元，用于我校新建两栋学生宿舍楼工程款。</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2022年度财政拨款基本支出决算27,309.29万元，其中：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（一）人员经费26,859.79万元。</w:t>
      </w:r>
      <w:r>
        <w:rPr>
          <w:rFonts w:ascii="仿宋" w:hAnsi="仿宋" w:eastAsia="仿宋" w:cs="仿宋"/>
        </w:rPr>
        <w:t>主要包括：基本工资、津贴补贴、绩效工资、机关事业单位基本养老保险缴费、职业年金缴费、职工基本医疗保险缴费、其他社会保障缴费、医疗费、其他工资福利支出、离休费、退休费、助学金。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（二）公用经费449.5万元。</w:t>
      </w:r>
      <w:r>
        <w:rPr>
          <w:rFonts w:ascii="仿宋" w:hAnsi="仿宋" w:eastAsia="仿宋" w:cs="仿宋"/>
        </w:rPr>
        <w:t>主要包括：办公费、公务接待费、委托业务费、工会经费、其他商品和服务支出。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2022年度一般公共预算财政拨款支出决算45,259.84万元。与上年相比，增加1,959.82万元，增长4.53%，变动原因：本年度财政专项较上年有所增加。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2022年度一般公共预算财政拨款基本支出决算27,309.29万元，其中：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（一）人员经费26,859.79万元。</w:t>
      </w:r>
      <w:r>
        <w:rPr>
          <w:rFonts w:ascii="仿宋" w:hAnsi="仿宋" w:eastAsia="仿宋" w:cs="仿宋"/>
        </w:rPr>
        <w:t>主要包括：基本工资、津贴补贴、绩效工资、机关事业单位基本养老保险缴费、职业年金缴费、职工基本医疗保险缴费、其他社会保障缴费、医疗费、其他工资福利支出、离休费、退休费、助学金。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（二）公用经费449.5万元。</w:t>
      </w:r>
      <w:r>
        <w:rPr>
          <w:rFonts w:ascii="仿宋" w:hAnsi="仿宋" w:eastAsia="仿宋" w:cs="仿宋"/>
        </w:rPr>
        <w:t>主要包括：办公费、公务接待费、委托业务费、工会经费、其他商品和服务支出。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九、财政拨款“三公”经费、会议费和培训费支出情况说明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（一）财政拨款“三公”经费支出总体情况说明。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三公”经费支出决算8.25万元（其中：一般公共预算支出8.25万元；政府性基金预算支出0万元；国有资本经营预算支出0万元）。与上年相比，减少15.26万元，变动原因：我校积极响应国家“过紧日子”的要求，厉行节约，压减公用经费尤其是“三公经费”开支。其中，因公出国（境）费支出0万元，占“三公”经费的0%；公务用车购置及运行维护费支出0万元，占“三公”经费的0%；公务接待费支出8.25万元，占“三公”经费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（二）财政拨款“三公”经费支出具体情况说明。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预算的100%，决算数与预算数相同。全年使用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预算的100%，决算数与预算数相同。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（1）公务用车购置支出决算0万元。本年度使用财政拨款购置公务用车0辆。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8.25万元（其中：一般公共预算支出8.25万元；政府性基金预算支出0万元；国有资本经营预算支出0万元），支出决算8.25万元（其中：一般公共预算支出8.25万元；政府性基金预算支出0万元；国有资本经营预算支出0万元），完成预算的100%，决算数与预算数相同。其中：国内公务接待支出8.25万元，接待75批次，875人次，开支内容：接待校地共建工作政府部门，来访交流兄弟院校，校企合作业务洽谈等；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（三）财政拨款会议费支出决算情况说明。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预算的100%，决算数与预算数相同。2022年度全年召开会议0个，参加会议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培训费支出预算0万元（其中：一般公共预算支出0万元；政府性基金预算支出0万元；国有资本经营预算支出0万元），支出决算0万元（其中：一般公共预算支出0万元；政府性基金预算支出0万元；国有资本经营预算支出0万元），完成预算的100%，决算数与预算数相同。2022年度全年组织培训0个，组织培训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2022年度政府性基金预算财政拨款支出决算4,000万元。与上年相比，增加4,000万元（上年决算数为0万元，无法计算增减比率），变动原因：本年获批的财政专项债券4000万元，用于两栋学生宿舍楼的投资建设。</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十二、财政拨款机关运行经费支出决算情况说明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2022年度机关运行经费支出决算0万元（其中：一般公共预算支出0万元；政府性基金预算支出0万元；国有资本经营预算支出0万元）。与上年决算数相同。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总额3,410.74万元，其中：政府采购货物支出2,654.51万元、政府采购工程支出183.94万元、政府采购服务支出572.29万元。政府采购授予中小企业合同金额3,233.95万元，占政府采购支出总额的94.82%，其中：授予小微企业合同金额2,203.06万元，占授予中小企业合同金额的68.12%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本单位共有车辆43辆，其中，一般公务用车15辆、执法执勤用车0辆、特种专业技术用车0辆、业务用车0辆、其他用车28辆等。单价100万元（含）以上的设备7台（不含车辆）。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2022年度，本单位共0个项目开展了财政绩效评价，涉及财政性资金合计0万元；本单位未开展单位整体支出财政绩效评价，涉及财政性资金0万元。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2022年度，本单位共14个项目开展了绩效自评价，涉及财政性资金合计10,479.26万元；本单位共开展1项单位整体支出绩效自评价，涉及财政性资金合计49,259.84万元。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十九、一般公共服务支出(类)知识产权事务(款)知识产权战略和规划(项)</w:t>
      </w:r>
      <w:r>
        <w:rPr>
          <w:rFonts w:ascii="仿宋" w:hAnsi="仿宋" w:eastAsia="仿宋" w:cs="仿宋"/>
          <w:b/>
        </w:rPr>
        <w:t>：</w:t>
      </w:r>
      <w:r>
        <w:rPr>
          <w:rFonts w:hint="eastAsia" w:ascii="仿宋" w:hAnsi="仿宋" w:eastAsia="仿宋" w:cs="仿宋"/>
        </w:rPr>
        <w:t>反映知识产权战略和规划的制定、实施、评估和统计监测等方面的支出。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二十、教育支出(类)普通教育(款)高等教育(项)</w:t>
      </w:r>
      <w:r>
        <w:rPr>
          <w:rFonts w:ascii="仿宋" w:hAnsi="仿宋" w:eastAsia="仿宋" w:cs="仿宋"/>
          <w:b/>
        </w:rPr>
        <w:t>：</w:t>
      </w:r>
      <w:r>
        <w:rPr>
          <w:rFonts w:hint="eastAsia" w:ascii="仿宋" w:hAnsi="仿宋" w:eastAsia="仿宋" w:cs="仿宋"/>
        </w:rPr>
        <w:t>反映各部门举办的普通本科（包括研究生）教育支出。政府各部门对社会组织等举办的普通本科高等院校（包括研究生）的资助，如捐赠、补贴等，也在本科目中反映。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二十一、科学技术支出(类)基础研究(款)自然科学基金(项)</w:t>
      </w:r>
      <w:r>
        <w:rPr>
          <w:rFonts w:ascii="仿宋" w:hAnsi="仿宋" w:eastAsia="仿宋" w:cs="仿宋"/>
          <w:b/>
        </w:rPr>
        <w:t>：</w:t>
      </w:r>
      <w:r>
        <w:rPr>
          <w:rFonts w:hint="eastAsia" w:ascii="仿宋" w:hAnsi="仿宋" w:eastAsia="仿宋" w:cs="仿宋"/>
        </w:rPr>
        <w:t>反映各级政府设立的自然科学基金支出。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二十二、科学技术支出(类)社会科学(款)社会科学研究(项)</w:t>
      </w:r>
      <w:r>
        <w:rPr>
          <w:rFonts w:ascii="仿宋" w:hAnsi="仿宋" w:eastAsia="仿宋" w:cs="仿宋"/>
          <w:b/>
        </w:rPr>
        <w:t>：</w:t>
      </w:r>
      <w:r>
        <w:rPr>
          <w:rFonts w:hint="eastAsia" w:ascii="仿宋" w:hAnsi="仿宋" w:eastAsia="仿宋" w:cs="仿宋"/>
        </w:rPr>
        <w:t>反映除社科基金支出外的社会科学研究支出。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二十三、科学技术支出(类)社会科学(款)社科基金支出(项)</w:t>
      </w:r>
      <w:r>
        <w:rPr>
          <w:rFonts w:ascii="仿宋" w:hAnsi="仿宋" w:eastAsia="仿宋" w:cs="仿宋"/>
          <w:b/>
        </w:rPr>
        <w:t>：</w:t>
      </w:r>
      <w:r>
        <w:rPr>
          <w:rFonts w:hint="eastAsia" w:ascii="仿宋" w:hAnsi="仿宋" w:eastAsia="仿宋" w:cs="仿宋"/>
        </w:rPr>
        <w:t>反映各级政府设立的社科基金支出。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二十四、科学技术支出(类)其他科学技术支出(款)其他科学技术支出(项)</w:t>
      </w:r>
      <w:r>
        <w:rPr>
          <w:rFonts w:ascii="仿宋" w:hAnsi="仿宋" w:eastAsia="仿宋" w:cs="仿宋"/>
          <w:b/>
        </w:rPr>
        <w:t>：</w:t>
      </w:r>
      <w:r>
        <w:rPr>
          <w:rFonts w:hint="eastAsia" w:ascii="仿宋" w:hAnsi="仿宋" w:eastAsia="仿宋" w:cs="仿宋"/>
        </w:rPr>
        <w:t>反映其他科学技术支出中除以上各项外用于科技方面的支出。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二十五、文化旅游体育与传媒支出(类)其他文化旅游体育与传媒支出(款)宣传文化发展专项支出(项)</w:t>
      </w:r>
      <w:r>
        <w:rPr>
          <w:rFonts w:ascii="仿宋" w:hAnsi="仿宋" w:eastAsia="仿宋" w:cs="仿宋"/>
          <w:b/>
        </w:rPr>
        <w:t>：</w:t>
      </w:r>
      <w:r>
        <w:rPr>
          <w:rFonts w:hint="eastAsia" w:ascii="仿宋" w:hAnsi="仿宋" w:eastAsia="仿宋" w:cs="仿宋"/>
        </w:rPr>
        <w:t>反映按照国家有关政策支持宣传文化单位发展的专项支出。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二十八、农林水支出(类)农业农村(款)科技转化与推广服务(项)</w:t>
      </w:r>
      <w:r>
        <w:rPr>
          <w:rFonts w:ascii="仿宋" w:hAnsi="仿宋" w:eastAsia="仿宋" w:cs="仿宋"/>
          <w:b/>
        </w:rPr>
        <w:t>：</w:t>
      </w:r>
      <w:r>
        <w:rPr>
          <w:rFonts w:hint="eastAsia" w:ascii="仿宋" w:hAnsi="仿宋" w:eastAsia="仿宋" w:cs="仿宋"/>
        </w:rPr>
        <w:t>反映用于农业科技成果转化，农业新品种、新机具、新技术引进、试验、示范、推广及服务，农村人居环境整治等方面的技术试验示范支出。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二十九、农林水支出(类)农业农村(款)农业生产发展(项)</w:t>
      </w:r>
      <w:r>
        <w:rPr>
          <w:rFonts w:ascii="仿宋" w:hAnsi="仿宋" w:eastAsia="仿宋" w:cs="仿宋"/>
          <w:b/>
        </w:rPr>
        <w:t>：</w:t>
      </w:r>
      <w:r>
        <w:rPr>
          <w:rFonts w:hint="eastAsia" w:ascii="仿宋" w:hAnsi="仿宋" w:eastAsia="仿宋" w:cs="仿宋"/>
        </w:rPr>
        <w:t>反映用于耕地地力保护、适度规模经营、农机购置补贴、优势特色主导产业发展、畜牧水产发展、农村一二三产业融合等方面支出。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三十二、其他支出(类)其他政府性基金及对应专项债务收入安排的支出(款)其他政府性基金债务收入安排的支出(项)</w:t>
      </w:r>
      <w:r>
        <w:rPr>
          <w:rFonts w:ascii="仿宋" w:hAnsi="仿宋" w:eastAsia="仿宋" w:cs="仿宋"/>
          <w:b/>
        </w:rPr>
        <w:t>：</w:t>
      </w:r>
      <w:r>
        <w:rPr>
          <w:rFonts w:hint="eastAsia" w:ascii="仿宋" w:hAnsi="仿宋" w:eastAsia="仿宋" w:cs="仿宋"/>
        </w:rPr>
        <w:t>反映其他政府性基金对应专项债务收入安排的支出。</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ZirM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g5vwmhLLDU78/P3b+cev88+v&#10;ZFnclEmi3kOFmQ8ec+Pwzg2YPvsBnYn50AaTvsiJYBwFPl0ElkMkIj0qV2VZYEhgbL4gPnt67gPE&#10;e+kMSUZNA04wC8uPHyCOqXNKqmbdndI6T1HbvxyImTws9T72mKw47IaJ0M41J+TT4/BranHXKdHv&#10;LWqb9mQ2wmzsZuPgg9p3eZFSPfBvDxGbyL2lCiPsVBinltlNG5bW4s97z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BmKszAEAAJ0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淮阴工学院</w:t>
    </w:r>
    <w:r>
      <w:t>2022年度单位决算公开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D3A12"/>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shirley庄</cp:lastModifiedBy>
  <dcterms:modified xsi:type="dcterms:W3CDTF">2023-09-12T06:33:14Z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5B08D37348314FD3BC8B0A41177765A0_13</vt:lpwstr>
  </property>
  <property fmtid="{D5CDD505-2E9C-101B-9397-08002B2CF9AE}" pid="5" name="KSOProductBuildVer">
    <vt:lpwstr>2052-12.1.0.15374</vt:lpwstr>
  </property>
  <property fmtid="{D5CDD505-2E9C-101B-9397-08002B2CF9AE}" pid="6" name="LastSaved">
    <vt:filetime>2021-04-15T00:00:00Z</vt:filetime>
  </property>
</Properties>
</file>