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2024年度淮阴工学院单位预算公开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人才培养职能。着力建设“五育并举+大安全观”应用型人才培养体系，主动策应新工科、新农科、新文科建设和“卓越人才培养计划2.0”要求，创新人才培养模式，培养高素质应用型人才。不断彰显周恩来精神风范育人特色，促进学生德智体美劳全面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科学研究职能。坚持“四个面向”，聚焦科技创新和决策咨询提质增效，强化应用研究，推进科教融合，大力提升科技创新能力和服务水平。围绕科技前沿和地方产业发展需求，加强与高水平大学、科研院所、行业骨干企业协同合作，打造引领区域产业发展的科技创新平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社会服务职能。深化校城融合，聚焦地方产业，优化整合创新要素，推进学科专业设置与产业需求精准对接，加快推进成果转化与技术转移，不断拓展服务深度与广度，不断提升服务区域产业发展贡献度。加强继续教育和教育培训体系建设，打造特色品牌培训项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文化传承创新职能。严守意识形态阵地，大力弘扬社会主义先进文化，繁荣校园文化活动，增强学校文化软实力和核心竞争力。实施中华优秀传统文化浸润工程，传承弘扬优秀地域文化、红色文化，践行“明德尚学、自强不息”淮工精神。</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（五）国际交流合作职能。坚持开放办学，进一步提高对外合作交流的层次和水平，主动服务“一带一路”建设，不断提升办学的国际化水平，不断扩大“留学淮工”品牌影响力。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根据单位职责分工，本单位内设机构包括：党政办公室；党委组织部、党委统战部；党委宣传部；纪委机关、巡察办；机关党委；党委教师工作部、人事处；党委研究生工作部、研究生处；党委学生工作部、学生工作处、人民武装部；党委保卫部、保卫处；发展规划处；教务处；教学质量监控与评估处；科学技术处、技术转移中心；社会科学处、苏北发展研究院；计划财务处；招生就业处；国际合作交流处、港澳台事务办公室；国有资产与实验室管理处；审计处；信息化建设与管理处、信息化技术中心；对外联络与合作处；后勤管理处；基建处；离退休党工委、离退休工作处；萧湖校区管理委员会、大学生创新创业基地管理委员会；工会；团委；继续教育学院；高等教育研究所、学报编辑部；图书馆；工程训练中心；饮食服务总公司。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1.坚持一体建设，统筹推进学科专业发展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统筹实施学科建设“246X”提质工程和品牌专业建设工程。认真做好“十四五”省重点学科建设工作；深入实施硕士点拓展工程，确保硕士学位授权点增至10个以上。以一流专业和专业认证为抓手，全力打造“12N”（10个国家级、20个省级、N个校级）三级一流（品牌）专业体系，着力提升专业内涵建设水平；做好工程教育专业认证工作，确保1-2个专业通过、力争1个专业进入专家现场考查，力争再新增受理专业2个；获批国家国家级“金课”1-2门、国家教学成果奖1项以上。</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2.坚持高质量导向，切实增强科技创新和社会服务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入推进“一流科技服务”实施计划，全面提升科技创新能力。获批省级科研平台1-2个；推进国家基金项目可持续增长，省部级项目稳步增长；授权发明专利240项以上，专利转化经费达1500万以上；深入实施发表高水平论文300篇以上；力争获评省级以上科研成果奖4项以上，实现国家级科技奖的新突破；坚持“跨江发展、向南图强”，着力打造校城融合“1111”工程升级版，积极拓展服务区域，提升服务质量，不断提升学校服务区域高质量发展融合度、贡献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3.坚持党管人才，实施人才队伍“1357”卓越工程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入实施人才队伍建设“1357”卓越工程，聚焦学校主干学科引进国家级领军人才5人以上；引培博士80人以上，具有一年以上海外背景优秀博士不少于10人；获批国家、省级优秀人才项目20人左右；获批省优秀教学团队或省科技创新团队1个以上。</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4.坚持立德树人，全面提升人才培养质量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入推进“一流学生培养”实施计划，以现代产业学院建设为契机，深化产教融合、科教融合，完善协同育人机制，深化本科生、研究生、留学生培养模式改革创新。深化创新创业教育改革，着力加强实践创新能力培养，学生获得省级以上学科竞赛奖奖2400人次以上，其中“互联网+”“挑战杯”等重要赛事国家级奖项各1项以上，全国大学生数学建模竞赛一等奖1项以上；学校进入全国普通高校学科竞赛排行榜300强；考研录取率力争突破26%，毕业生就业率保持在96%以上。</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5.坚持开放办学，持续优化对外合作交流质效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入推进“一流境外合作”实施计划，加强中欧运河文化研究交流中心、国家级海峡两岸青年就业创业示范点和“留学淮工”品牌建设，不断提升境外合作交流层次与水平。获批中外合作办学项目或机构1项；新增境外高水平友好院校10所以上；新增境外联合培养研究生项目1-2项，持续推进境外共建课程建设。</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淮阴工学院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淮阴工学院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41,950.34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en-US" w:eastAsia="ar-SA" w:bidi="zh-CN"/>
              </w:rPr>
              <w:t>6</w:t>
            </w:r>
            <w:r>
              <w:rPr>
                <w:rFonts w:hint="eastAsia" w:ascii="仿宋" w:hAnsi="仿宋" w:eastAsia="仿宋" w:cs="仿宋"/>
                <w:color w:val="000000"/>
                <w:kern w:val="0"/>
                <w:sz w:val="22"/>
                <w:szCs w:val="22"/>
                <w:lang w:val="zh-CN" w:eastAsia="ar-SA" w:bidi="zh-CN"/>
              </w:rPr>
              <w:t>3,</w:t>
            </w:r>
            <w:r>
              <w:rPr>
                <w:rFonts w:hint="eastAsia" w:ascii="仿宋" w:hAnsi="仿宋" w:eastAsia="仿宋" w:cs="仿宋"/>
                <w:color w:val="000000"/>
                <w:kern w:val="0"/>
                <w:sz w:val="22"/>
                <w:szCs w:val="22"/>
                <w:lang w:val="en-US" w:eastAsia="ar-SA" w:bidi="zh-CN"/>
              </w:rPr>
              <w:t>14</w:t>
            </w:r>
            <w:r>
              <w:rPr>
                <w:rFonts w:hint="eastAsia" w:ascii="仿宋" w:hAnsi="仿宋" w:eastAsia="仿宋" w:cs="仿宋"/>
                <w:color w:val="000000"/>
                <w:kern w:val="0"/>
                <w:sz w:val="22"/>
                <w:szCs w:val="22"/>
                <w:lang w:val="zh-CN" w:eastAsia="ar-SA" w:bidi="zh-CN"/>
              </w:rPr>
              <w:t>3.13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6,460.31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3,030.00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12,371.90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81,980.34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81,980.34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81,980.34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81,980.34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81,980.34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81,980.34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41,950.34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16,000.00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9,000.00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3,030.00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168049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淮阴工学院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81,980.34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81,980.34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41,950.34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16,000.00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3,030.00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81,980.34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55,125.34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26,855.00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3,</w:t>
            </w:r>
            <w:r>
              <w:rPr>
                <w:rFonts w:hint="eastAsia" w:ascii="仿宋" w:hAnsi="仿宋" w:eastAsia="仿宋" w:cs="仿宋"/>
                <w:sz w:val="22"/>
                <w:szCs w:val="22"/>
                <w:lang w:val="en-US" w:eastAsia="zh-CN"/>
              </w:rPr>
              <w:t>143</w:t>
            </w:r>
            <w:r>
              <w:rPr>
                <w:rFonts w:hint="eastAsia" w:ascii="仿宋" w:hAnsi="仿宋" w:eastAsia="仿宋" w:cs="仿宋"/>
                <w:sz w:val="22"/>
                <w:szCs w:val="22"/>
              </w:rPr>
              <w:t>.13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36,293.13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3,</w:t>
            </w:r>
            <w:r>
              <w:rPr>
                <w:rFonts w:hint="eastAsia" w:ascii="仿宋" w:hAnsi="仿宋" w:eastAsia="仿宋" w:cs="仿宋"/>
                <w:sz w:val="22"/>
                <w:szCs w:val="22"/>
                <w:lang w:val="en-US" w:eastAsia="zh-CN"/>
              </w:rPr>
              <w:t>143</w:t>
            </w:r>
            <w:r>
              <w:rPr>
                <w:rFonts w:hint="eastAsia" w:ascii="仿宋" w:hAnsi="仿宋" w:eastAsia="仿宋" w:cs="仿宋"/>
                <w:sz w:val="22"/>
                <w:szCs w:val="22"/>
              </w:rPr>
              <w:t>.13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36,293.13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高等教育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3,</w:t>
            </w:r>
            <w:r>
              <w:rPr>
                <w:rFonts w:hint="eastAsia" w:ascii="仿宋" w:hAnsi="仿宋" w:eastAsia="仿宋" w:cs="仿宋"/>
                <w:sz w:val="22"/>
                <w:szCs w:val="22"/>
                <w:lang w:val="en-US" w:eastAsia="zh-CN"/>
              </w:rPr>
              <w:t>143</w:t>
            </w:r>
            <w:r>
              <w:rPr>
                <w:rFonts w:hint="eastAsia" w:ascii="仿宋" w:hAnsi="仿宋" w:eastAsia="仿宋" w:cs="仿宋"/>
                <w:sz w:val="22"/>
                <w:szCs w:val="22"/>
              </w:rPr>
              <w:t>.13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36,293.13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中医药事务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2101704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中医（民族医）药专项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12,371.90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12,371.90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3,578.60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3,578.60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8,793.30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8,793.30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淮阴工学院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41,950.34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41,950.34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41,950.34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34,442.98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6,460.31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1,042.05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41,950.34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41,950.34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41,950.34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35,375.34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33,055.84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2,319.50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6,575.00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34,442.98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27,872.98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25,553.48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34,442.98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27,872.98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25,553.48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高等教育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34,442.98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27,872.98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25,553.48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6,460.31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6,460.31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6,460.31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6,460.31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6,460.31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6,460.31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中医药事务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2101704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中医（民族医）药专项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淮阴工学院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35,375.34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33,055.84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31,979.30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31,979.30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8,135.06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8,135.06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14,516.15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14,516.15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4,286.57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4,286.57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1,954.27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41,950.34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35,375.34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33,055.84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2,319.50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6,575.00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34,442.98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27,872.98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25,553.48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34,442.98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27,872.98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25,553.48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高等教育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34,442.98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27,872.98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25,553.48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6,460.31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中医药事务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2101704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中医（民族医）药专项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35,375.34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33,055.84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31,979.30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31,979.30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8,135.06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8,135.06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14,516.15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14,516.15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4,286.57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4,286.57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1,954.27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1,954.27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2,319.50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淮阴工学院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组合家具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淮阴工学院2024年度收入、支出预算总计81,980.34万元，与上年相比收、支预算总计各增加13.08万元，增长0.02%。其中：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（一）收入预算总计81,980.34万元。包括：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1．本年收入合计81,980.34万元。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（1）一般公共预算拨款收入41,950.34万元，与上年相比增加2,983.08万元，增长7.66%。主要原因是招生人数增加。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（4）财政专户管理资金收入16,000万元，与上年预算数相同。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（5）事业收入12,000万元，与上年相比增加12,000万元（去年预算数为0万元，无法计算增减比率）。主要原因是本年将科研项目收入从其他收入转入事业收入。</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（6）事业单位经营收入9,000万元，与上年预算数相同。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（9）其他收入3,030万元，与上年相比减少14,970万元，减少83.17%。主要原因是本年将科研项目收入从其他收入转入事业收入。</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（二）支出预算总计81,980.34万元。包括：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1．本年支出合计81,980.34万元。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w:t>
      </w:r>
      <w:r>
        <w:rPr>
          <w:rFonts w:hint="eastAsia" w:ascii="仿宋" w:hAnsi="仿宋" w:eastAsia="仿宋" w:cs="仿宋"/>
          <w:lang w:val="en-US" w:eastAsia="zh-CN"/>
        </w:rPr>
        <w:t>6</w:t>
      </w:r>
      <w:r>
        <w:rPr>
          <w:rFonts w:ascii="仿宋" w:hAnsi="仿宋" w:eastAsia="仿宋" w:cs="仿宋"/>
        </w:rPr>
        <w:t>3,</w:t>
      </w:r>
      <w:r>
        <w:rPr>
          <w:rFonts w:hint="eastAsia" w:ascii="仿宋" w:hAnsi="仿宋" w:eastAsia="仿宋" w:cs="仿宋"/>
          <w:lang w:val="en-US" w:eastAsia="zh-CN"/>
        </w:rPr>
        <w:t>14</w:t>
      </w:r>
      <w:r>
        <w:rPr>
          <w:rFonts w:ascii="仿宋" w:hAnsi="仿宋" w:eastAsia="仿宋" w:cs="仿宋"/>
        </w:rPr>
        <w:t>3.13万元，主要用于学校教育教学支出。与上年相比减少</w:t>
      </w:r>
      <w:r>
        <w:rPr>
          <w:rFonts w:hint="eastAsia" w:ascii="仿宋" w:hAnsi="仿宋" w:eastAsia="仿宋" w:cs="仿宋"/>
          <w:lang w:val="en-US" w:eastAsia="zh-CN"/>
        </w:rPr>
        <w:t>2</w:t>
      </w:r>
      <w:r>
        <w:rPr>
          <w:rFonts w:ascii="仿宋" w:hAnsi="仿宋" w:eastAsia="仿宋" w:cs="仿宋"/>
        </w:rPr>
        <w:t>,</w:t>
      </w:r>
      <w:r>
        <w:rPr>
          <w:rFonts w:hint="eastAsia" w:ascii="仿宋" w:hAnsi="仿宋" w:eastAsia="仿宋" w:cs="仿宋"/>
          <w:lang w:val="en-US" w:eastAsia="zh-CN"/>
        </w:rPr>
        <w:t>57</w:t>
      </w:r>
      <w:r>
        <w:rPr>
          <w:rFonts w:ascii="仿宋" w:hAnsi="仿宋" w:eastAsia="仿宋" w:cs="仿宋"/>
        </w:rPr>
        <w:t>9.07万元，减少</w:t>
      </w:r>
      <w:r>
        <w:rPr>
          <w:rFonts w:hint="eastAsia" w:ascii="仿宋" w:hAnsi="仿宋" w:eastAsia="仿宋" w:cs="仿宋"/>
          <w:lang w:val="en-US" w:eastAsia="zh-CN"/>
        </w:rPr>
        <w:t>3</w:t>
      </w:r>
      <w:r>
        <w:rPr>
          <w:rFonts w:ascii="仿宋" w:hAnsi="仿宋" w:eastAsia="仿宋" w:cs="仿宋"/>
        </w:rPr>
        <w:t>.</w:t>
      </w:r>
      <w:r>
        <w:rPr>
          <w:rFonts w:hint="eastAsia" w:ascii="仿宋" w:hAnsi="仿宋" w:eastAsia="仿宋" w:cs="仿宋"/>
          <w:lang w:val="en-US" w:eastAsia="zh-CN"/>
        </w:rPr>
        <w:t>92</w:t>
      </w:r>
      <w:r>
        <w:rPr>
          <w:rFonts w:ascii="仿宋" w:hAnsi="仿宋" w:eastAsia="仿宋" w:cs="仿宋"/>
        </w:rPr>
        <w:t>%。主要原因是本年压缩了公用经费。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（2）社会保障和就业支出（类）支出6,460.31万元，主要用于基本养老保险和职业年金等。与上年相比增加1,526.96万元，增长30.95%。主要原因是在职人员增加。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5万元，主要用于江苏省中医药事业发展专项资金。与上年相比减少5万元，减少50%。主要原因是本年新增江苏省中医药事业发展专项资金拨款比云年中医药（款）中医（民族医）药专项（项）资金少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w:t>
      </w:r>
      <w:r>
        <w:rPr>
          <w:rFonts w:hint="eastAsia" w:ascii="仿宋" w:hAnsi="仿宋" w:eastAsia="仿宋" w:cs="仿宋"/>
          <w:lang w:val="en-US" w:eastAsia="zh-CN"/>
        </w:rPr>
        <w:t>4</w:t>
      </w:r>
      <w:r>
        <w:rPr>
          <w:rFonts w:ascii="仿宋" w:hAnsi="仿宋" w:eastAsia="仿宋" w:cs="仿宋"/>
        </w:rPr>
        <w:t>）住房保障支出（类）支出12,371.9万元，主要用于提租补贴、住房公积金。与上年相比增加1,070.19万元，增长9.47%。主要原因是人员增加，工资增长，住房公积金实行例行调整。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淮阴工学院2024年收入预算合计81,980.34万元，包括本年收入81,980.34万元，上年结转结余0万元。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本年一般公共预算收入41,950.34万元，占51.17%；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本年财政专户管理资金16,000万元，占19.52%；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本年事业收入12,000万元，占14.64%；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本年事业单位经营收入9,000万元，占10.98%；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本年其他收入3,030万元，占3.69%；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淮阴工学院2024年支出预算合计81,980.34万元，其中：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基本支出55,125.34万元，占67.24%；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项目支出26,855万元，占32.76%；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淮阴工学院2024年度财政拨款收、支总预算41,950.34万元。与上年相比，财政拨款收、支总计各增加2,983.08万元，增长7.66%。主要原因是招生人数增加、人员增加，房补和公积金例行调整。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eastAsia="zh-CN"/>
        </w:rPr>
      </w:pPr>
      <w:r>
        <w:rPr>
          <w:rFonts w:ascii="仿宋" w:hAnsi="仿宋" w:eastAsia="仿宋" w:cs="仿宋"/>
        </w:rPr>
        <w:t>淮阴工学院2024年财政拨款预算支出41,950.34万元，占本年支出合计的51.17%。与上年相比，财政拨款支出增加2,983.08万元，增长7.66%。主要原因是人员增加</w:t>
      </w:r>
      <w:r>
        <w:rPr>
          <w:rFonts w:hint="eastAsia" w:ascii="仿宋" w:hAnsi="仿宋" w:eastAsia="仿宋" w:cs="仿宋"/>
          <w:lang w:eastAsia="zh-CN"/>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普通教育（款）高等教育（项）支出34,442.98万元，与上年相比增加1,395.94万元，增长4.22%。主要原因是教学经费支出增加。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1.行政事业单位养老支出（款）机关事业单位基本养老保险缴费支出（项）支出4,286.57万元，与上年相比增加997.67万元，增长30.33%。主要原因是人员增加。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2.行政事业单位养老支出（款）机关事业单位职业年金缴费支出（项）支出2,143.29万元，与上年相比增加498.84万元，增长30.33%。主要原因是人员增加。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3.行政事业单位养老支出（款）其他行政事业单位养老支出（项）支出30.45万元，与上年相比增加30.45万元（去年预算数为0万元，无法计算增减比率）。主要原因是人员增加。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1.中医药（款）中医（民族医）药专项（项）支出0万元，与上年相比减少10万元，减少100%。主要原因是中医药（款）中医（民族医）药专项（项）支出本年无拨款。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中医药事务（款）中医（民族医）药专项（项）支出5万元，与上年相比增加5万元（去年预算数为0万元，无法计算增减比率）。主要原因是本年新增江苏省中医药事业发展专项资金拨款比云年中医药（款）中医（民族医）药专项（项）资金少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住房改革支出（款）提租补贴（项）支出1,042.05万元，与上年相比增加65.18万元，增长6.67%。主要原因是人员增加，住房公积金实行例行调整。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淮阴工学院2024年度财政拨款基本支出预算35,375.34万元，其中：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（一）人员经费33,055.84万元。主要包括：基本工资、津贴补贴、绩效工资、机关事业单位基本养老保险缴费、职业年金缴费、其他社会保障缴费、离休费、退休费、医疗费补助。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（二）公用经费2,319.5万元。主要包括：咨询费、水费、电费、维修（护）费、公务接待费、专用材料费、工会经费、福利费。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highlight w:val="yellow"/>
          <w:lang w:val="en-US" w:eastAsia="zh-CN"/>
        </w:rPr>
      </w:pPr>
      <w:r>
        <w:rPr>
          <w:rFonts w:ascii="仿宋" w:hAnsi="仿宋" w:eastAsia="仿宋" w:cs="仿宋"/>
        </w:rPr>
        <w:t>淮阴工学院2024年一般公共预算财政拨款支出预算41,950.34万元，与上年相比增加2,983.08万元，增长7.66%。主要原因是人员增加</w:t>
      </w:r>
      <w:r>
        <w:rPr>
          <w:rFonts w:hint="eastAsia" w:ascii="仿宋" w:hAnsi="仿宋" w:eastAsia="仿宋" w:cs="仿宋"/>
          <w:lang w:eastAsia="zh-CN"/>
        </w:rPr>
        <w:t>。</w:t>
      </w:r>
      <w:bookmarkStart w:id="0" w:name="_GoBack"/>
      <w:bookmarkEnd w:id="0"/>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淮阴工学院2024年度一般公共预算财政拨款基本支出预算35,375.34万元，其中：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（一）人员经费33,055.84万元。主要包括：基本工资、津贴补贴、绩效工资、机关事业单位基本养老保险缴费、职业年金缴费、其他社会保障缴费、离休费、退休费、医疗费补助。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（二）公用经费2,319.5万元。主要包括：咨询费、水费、电费、维修（护）费、公务接待费、专用材料费、工会经费、福利费。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一般公共预算拨款安排的“三公”经费支出预算119.5万元，与上年预算数相同。其中，因公出国（境）费支出0万元，占“三公”经费的0%；公务用车购置及运行维护费支出0万元，占“三公”经费的0%；公务接待费支出119.5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3．公务接待费预算支出119.5万元，与上年预算数相同。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淮阴工学院2024年度一般公共预算拨款安排的培训费预算支出0万元，与上年预算数相同。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2024年度政府采购支出预算总额200万元，其中：拟采购货物支出200万元、拟采购工程支出0万元、拟采购服务支出0万元。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12辆，其中，副部（省）级及以上领导用车0辆、主要领导干部用车2辆、机要通信用车1辆、应急保障用车1辆、执法执勤用车0辆、特种专业技术用车0辆、离退休干部用车0辆，其他用车8辆；单价100万元（含）以上的设备18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41,950.34万元；本单位共13个项目纳入绩效目标管理，涉及财政性资金合计6,575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八、教育支出(类)普通教育(款)高等教育(项)</w:t>
      </w:r>
      <w:r>
        <w:rPr>
          <w:rFonts w:ascii="仿宋" w:hAnsi="仿宋" w:eastAsia="仿宋" w:cs="仿宋"/>
          <w:b/>
        </w:rPr>
        <w:t>：</w:t>
      </w:r>
      <w:r>
        <w:rPr>
          <w:rFonts w:hint="eastAsia" w:ascii="仿宋" w:hAnsi="仿宋" w:eastAsia="仿宋" w:cs="仿宋"/>
        </w:rPr>
        <w:t>反映各部门举办的普通本科（包括研究生）教育支出。政府各部门对社会组织等举办的普通本科高等院校（包括研究生）的资助，如捐赠、补贴等，也在本科目中反映。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十一、社会保障和就业支出(类)行政事业单位养老支出(款)其他行政事业单位养老支出(项)</w:t>
      </w:r>
      <w:r>
        <w:rPr>
          <w:rFonts w:ascii="仿宋" w:hAnsi="仿宋" w:eastAsia="仿宋" w:cs="仿宋"/>
          <w:b/>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十二、卫生健康支出(类)中医药事务(款)中医（民族医）药专项(项)</w:t>
      </w:r>
      <w:r>
        <w:rPr>
          <w:rFonts w:ascii="仿宋" w:hAnsi="仿宋" w:eastAsia="仿宋" w:cs="仿宋"/>
          <w:b/>
        </w:rPr>
        <w:t>：</w:t>
      </w:r>
      <w:r>
        <w:rPr>
          <w:rFonts w:hint="eastAsia" w:ascii="仿宋" w:hAnsi="仿宋" w:eastAsia="仿宋" w:cs="仿宋"/>
        </w:rPr>
        <w:t>反映中医（民族医）药方面的专项支出。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十三、援助其他地区支出(类)其他支出(款)</w:t>
      </w:r>
      <w:r>
        <w:rPr>
          <w:rFonts w:ascii="仿宋" w:hAnsi="仿宋" w:eastAsia="仿宋" w:cs="仿宋"/>
          <w:b/>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淮阴工学院</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TI4YzA4YjUxNzc2MjhiOTM2YzA1NGIxYzUxZGE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26BE9"/>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B1E72"/>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7E2A76"/>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3C5D"/>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790932"/>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43151"/>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2539A8"/>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A451BA"/>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27B09"/>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2B4"/>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31E4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11BB9"/>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autoRedefine/>
    <w:qFormat/>
    <w:uiPriority w:val="1"/>
    <w:pPr>
      <w:ind w:left="-40" w:firstLine="0"/>
      <w:outlineLvl w:val="0"/>
    </w:pPr>
    <w:rPr>
      <w:sz w:val="52"/>
      <w:szCs w:val="52"/>
    </w:rPr>
  </w:style>
  <w:style w:type="paragraph" w:styleId="3">
    <w:name w:val="heading 2"/>
    <w:basedOn w:val="1"/>
    <w:next w:val="1"/>
    <w:autoRedefine/>
    <w:qFormat/>
    <w:uiPriority w:val="1"/>
    <w:pPr>
      <w:ind w:right="18" w:firstLine="0"/>
      <w:jc w:val="center"/>
      <w:outlineLvl w:val="1"/>
    </w:pPr>
    <w:rPr>
      <w:sz w:val="44"/>
      <w:szCs w:val="44"/>
    </w:rPr>
  </w:style>
  <w:style w:type="paragraph" w:styleId="4">
    <w:name w:val="heading 3"/>
    <w:basedOn w:val="1"/>
    <w:next w:val="1"/>
    <w:autoRedefine/>
    <w:qFormat/>
    <w:uiPriority w:val="1"/>
    <w:pPr>
      <w:ind w:left="1" w:firstLine="0"/>
      <w:jc w:val="center"/>
      <w:outlineLvl w:val="2"/>
    </w:pPr>
    <w:rPr>
      <w:sz w:val="40"/>
      <w:szCs w:val="40"/>
    </w:rPr>
  </w:style>
  <w:style w:type="paragraph" w:styleId="5">
    <w:name w:val="heading 4"/>
    <w:basedOn w:val="1"/>
    <w:next w:val="1"/>
    <w:autoRedefine/>
    <w:qFormat/>
    <w:uiPriority w:val="1"/>
    <w:pPr>
      <w:jc w:val="center"/>
      <w:outlineLvl w:val="3"/>
    </w:pPr>
    <w:rPr>
      <w:sz w:val="36"/>
      <w:szCs w:val="36"/>
    </w:rPr>
  </w:style>
  <w:style w:type="paragraph" w:styleId="6">
    <w:name w:val="heading 5"/>
    <w:basedOn w:val="1"/>
    <w:next w:val="1"/>
    <w:autoRedefine/>
    <w:qFormat/>
    <w:uiPriority w:val="1"/>
    <w:pPr>
      <w:ind w:left="112" w:firstLine="0"/>
      <w:outlineLvl w:val="4"/>
    </w:pPr>
    <w:rPr>
      <w:sz w:val="33"/>
      <w:szCs w:val="33"/>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suppressLineNumbers/>
      <w:spacing w:before="120" w:after="120"/>
    </w:pPr>
    <w:rPr>
      <w:i/>
      <w:iCs/>
      <w:sz w:val="24"/>
      <w:szCs w:val="24"/>
    </w:rPr>
  </w:style>
  <w:style w:type="paragraph" w:styleId="8">
    <w:name w:val="Body Text"/>
    <w:basedOn w:val="1"/>
    <w:autoRedefine/>
    <w:qFormat/>
    <w:uiPriority w:val="1"/>
    <w:rPr>
      <w:sz w:val="32"/>
      <w:szCs w:val="32"/>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autoRedefine/>
    <w:qFormat/>
    <w:uiPriority w:val="0"/>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autoRedefine/>
    <w:qFormat/>
    <w:uiPriority w:val="0"/>
  </w:style>
  <w:style w:type="character" w:customStyle="1" w:styleId="16">
    <w:name w:val="页眉 字符"/>
    <w:basedOn w:val="14"/>
    <w:autoRedefine/>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autoRedefine/>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autoRedefine/>
    <w:qFormat/>
    <w:uiPriority w:val="0"/>
    <w:pPr>
      <w:keepNext/>
      <w:spacing w:before="240" w:after="120"/>
    </w:pPr>
    <w:rPr>
      <w:rFonts w:ascii="Liberation Sans" w:hAnsi="Liberation Sans"/>
      <w:sz w:val="28"/>
      <w:szCs w:val="28"/>
    </w:rPr>
  </w:style>
  <w:style w:type="paragraph" w:customStyle="1" w:styleId="19">
    <w:name w:val="索引"/>
    <w:basedOn w:val="1"/>
    <w:autoRedefine/>
    <w:qFormat/>
    <w:uiPriority w:val="0"/>
    <w:pPr>
      <w:suppressLineNumbers/>
    </w:pPr>
  </w:style>
  <w:style w:type="paragraph" w:customStyle="1" w:styleId="20">
    <w:name w:val="页眉与页脚"/>
    <w:basedOn w:val="1"/>
    <w:autoRedefine/>
    <w:qFormat/>
    <w:uiPriority w:val="0"/>
  </w:style>
  <w:style w:type="paragraph" w:customStyle="1" w:styleId="21">
    <w:name w:val="List Paragraph"/>
    <w:basedOn w:val="1"/>
    <w:autoRedefine/>
    <w:qFormat/>
    <w:uiPriority w:val="1"/>
    <w:pPr>
      <w:ind w:left="2039" w:hanging="782"/>
    </w:pPr>
  </w:style>
  <w:style w:type="paragraph" w:customStyle="1" w:styleId="22">
    <w:name w:val="Table Paragraph"/>
    <w:basedOn w:val="1"/>
    <w:autoRedefine/>
    <w:qFormat/>
    <w:uiPriority w:val="1"/>
    <w:rPr>
      <w:rFonts w:ascii="宋体" w:hAnsi="宋体" w:eastAsia="宋体" w:cs="宋体"/>
    </w:rPr>
  </w:style>
  <w:style w:type="paragraph" w:customStyle="1" w:styleId="23">
    <w:name w:val="表格内容"/>
    <w:basedOn w:val="1"/>
    <w:autoRedefine/>
    <w:qFormat/>
    <w:uiPriority w:val="0"/>
    <w:pPr>
      <w:suppressLineNumbers/>
    </w:pPr>
  </w:style>
  <w:style w:type="paragraph" w:customStyle="1" w:styleId="24">
    <w:name w:val="表格标题"/>
    <w:basedOn w:val="23"/>
    <w:autoRedefine/>
    <w:qFormat/>
    <w:uiPriority w:val="0"/>
    <w:pPr>
      <w:jc w:val="center"/>
    </w:pPr>
    <w:rPr>
      <w:b/>
      <w:bCs/>
    </w:rPr>
  </w:style>
  <w:style w:type="paragraph" w:customStyle="1" w:styleId="25">
    <w:name w:val="预格式化的文本"/>
    <w:basedOn w:val="1"/>
    <w:autoRedefine/>
    <w:qFormat/>
    <w:uiPriority w:val="0"/>
    <w:rPr>
      <w:rFonts w:ascii="Liberation Mono" w:hAnsi="Liberation Mono" w:eastAsia="新宋体" w:cs="Liberation Mono"/>
      <w:sz w:val="20"/>
      <w:szCs w:val="20"/>
    </w:rPr>
  </w:style>
  <w:style w:type="table" w:customStyle="1" w:styleId="26">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22</TotalTime>
  <ScaleCrop>false</ScaleCrop>
  <LinksUpToDate>false</LinksUpToDate>
  <CharactersWithSpaces>6456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shirley庄</cp:lastModifiedBy>
  <dcterms:modified xsi:type="dcterms:W3CDTF">2024-03-12T07:54:10Z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F6EEE50B19F149E9963E090E403C7D69_13</vt:lpwstr>
  </property>
  <property fmtid="{D5CDD505-2E9C-101B-9397-08002B2CF9AE}" pid="5" name="KSOProductBuildVer">
    <vt:lpwstr>2052-12.1.0.16388</vt:lpwstr>
  </property>
  <property fmtid="{D5CDD505-2E9C-101B-9397-08002B2CF9AE}" pid="6" name="LastSaved">
    <vt:filetime>2021-04-15T00:00:00Z</vt:filetime>
  </property>
</Properties>
</file>